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B93" w:rsidRDefault="00890B93" w:rsidP="001211D1">
      <w:pPr>
        <w:pStyle w:val="Overskrift1"/>
      </w:pPr>
      <w:r w:rsidRPr="001211D1">
        <w:t>Møde i Clarin licens</w:t>
      </w:r>
      <w:r>
        <w:t xml:space="preserve">udvalg </w:t>
      </w:r>
      <w:r w:rsidRPr="001211D1">
        <w:t>27. januar 2011 14:00 - 16:00</w:t>
      </w:r>
      <w:r>
        <w:t xml:space="preserve"> på CST</w:t>
      </w:r>
    </w:p>
    <w:p w:rsidR="00890B93" w:rsidRPr="001211D1" w:rsidRDefault="00890B93" w:rsidP="001211D1">
      <w:pPr>
        <w:pStyle w:val="Overskrift2"/>
      </w:pPr>
      <w:r>
        <w:t>Referat</w:t>
      </w:r>
    </w:p>
    <w:p w:rsidR="00890B93" w:rsidRDefault="00890B93" w:rsidP="00302EB7"/>
    <w:p w:rsidR="00890B93" w:rsidRPr="001211D1" w:rsidRDefault="00890B93" w:rsidP="00302EB7">
      <w:r>
        <w:t xml:space="preserve">Til stede: </w:t>
      </w:r>
      <w:smartTag w:uri="urn:schemas-microsoft-com:office:smarttags" w:element="PersonName">
        <w:smartTagPr>
          <w:attr w:name="ProductID" w:val="Henriette Fenger Grønfeldt"/>
        </w:smartTagPr>
        <w:r>
          <w:t>Henriette Fenger Grønfeldt</w:t>
        </w:r>
      </w:smartTag>
      <w:r>
        <w:t xml:space="preserve"> (HFG), Bente Maegaard (BM), Lars Trap Jensen (LTJ), Anders Conrad (ASC, referent)</w:t>
      </w:r>
    </w:p>
    <w:p w:rsidR="00890B93" w:rsidRDefault="00890B93" w:rsidP="00302EB7">
      <w:pPr>
        <w:pStyle w:val="Overskrift1"/>
        <w:rPr>
          <w:rFonts w:ascii="Calibri" w:hAnsi="Calibri" w:cs="Calibri"/>
          <w:sz w:val="22"/>
          <w:szCs w:val="22"/>
        </w:rPr>
      </w:pPr>
      <w:r>
        <w:t xml:space="preserve"> </w:t>
      </w:r>
      <w:r>
        <w:rPr>
          <w:rFonts w:ascii="Calibri" w:hAnsi="Calibri" w:cs="Calibri"/>
          <w:sz w:val="22"/>
          <w:szCs w:val="22"/>
        </w:rPr>
        <w:t>Dagsorden:</w:t>
      </w:r>
    </w:p>
    <w:p w:rsidR="00890B93" w:rsidRDefault="00890B93" w:rsidP="001211D1">
      <w:pPr>
        <w:numPr>
          <w:ilvl w:val="0"/>
          <w:numId w:val="1"/>
        </w:numPr>
        <w:spacing w:line="240" w:lineRule="auto"/>
        <w:ind w:left="540"/>
        <w:textAlignment w:val="center"/>
        <w:rPr>
          <w:rFonts w:cs="Calibri"/>
        </w:rPr>
      </w:pPr>
      <w:r>
        <w:rPr>
          <w:rFonts w:cs="Calibri"/>
        </w:rPr>
        <w:t>Godkendelse af referat og dagsorden</w:t>
      </w:r>
    </w:p>
    <w:p w:rsidR="00890B93" w:rsidRDefault="00890B93" w:rsidP="00946730">
      <w:r>
        <w:t> </w:t>
      </w:r>
    </w:p>
    <w:p w:rsidR="00890B93" w:rsidRDefault="00890B93" w:rsidP="00946730">
      <w:pPr>
        <w:ind w:left="851"/>
      </w:pPr>
      <w:r>
        <w:t xml:space="preserve">Referatet er godkendt. </w:t>
      </w:r>
    </w:p>
    <w:p w:rsidR="00890B93" w:rsidRDefault="00890B93" w:rsidP="00946730">
      <w:pPr>
        <w:ind w:left="851"/>
      </w:pPr>
      <w:r>
        <w:t>Der er siden indkaldelsen rundsendt et eksempel på leverandøraftaler fra LTJ. Der tilføjes en behandling af dette punkt til dagsordenen.</w:t>
      </w:r>
    </w:p>
    <w:p w:rsidR="00890B93" w:rsidRDefault="00890B93" w:rsidP="00946730">
      <w:r>
        <w:t> </w:t>
      </w:r>
    </w:p>
    <w:p w:rsidR="00890B93" w:rsidRDefault="00890B93" w:rsidP="00946730">
      <w:pPr>
        <w:numPr>
          <w:ilvl w:val="0"/>
          <w:numId w:val="3"/>
        </w:numPr>
        <w:spacing w:line="240" w:lineRule="auto"/>
        <w:textAlignment w:val="center"/>
        <w:rPr>
          <w:rFonts w:cs="Calibri"/>
        </w:rPr>
      </w:pPr>
      <w:r>
        <w:rPr>
          <w:rFonts w:cs="Calibri"/>
        </w:rPr>
        <w:t xml:space="preserve">De rundsendte forslag til licenstekster </w:t>
      </w:r>
    </w:p>
    <w:p w:rsidR="00890B93" w:rsidRPr="00946730" w:rsidRDefault="00890B93" w:rsidP="00946730">
      <w:pPr>
        <w:pStyle w:val="Listeafsnit"/>
        <w:numPr>
          <w:ilvl w:val="1"/>
          <w:numId w:val="3"/>
        </w:numPr>
        <w:spacing w:line="240" w:lineRule="auto"/>
        <w:textAlignment w:val="center"/>
        <w:rPr>
          <w:rFonts w:cs="Calibri"/>
        </w:rPr>
      </w:pPr>
      <w:r w:rsidRPr="00946730">
        <w:rPr>
          <w:rFonts w:cs="Calibri"/>
        </w:rPr>
        <w:t>PUB licens og</w:t>
      </w:r>
    </w:p>
    <w:p w:rsidR="00890B93" w:rsidRPr="00946730" w:rsidRDefault="00890B93" w:rsidP="00946730">
      <w:pPr>
        <w:pStyle w:val="Listeafsnit"/>
        <w:numPr>
          <w:ilvl w:val="1"/>
          <w:numId w:val="3"/>
        </w:numPr>
        <w:spacing w:line="240" w:lineRule="auto"/>
        <w:textAlignment w:val="center"/>
        <w:rPr>
          <w:rFonts w:cs="Calibri"/>
        </w:rPr>
      </w:pPr>
      <w:r w:rsidRPr="00946730">
        <w:rPr>
          <w:rFonts w:cs="Calibri"/>
        </w:rPr>
        <w:t>ACA licens</w:t>
      </w:r>
    </w:p>
    <w:p w:rsidR="00890B93" w:rsidRDefault="00890B93" w:rsidP="00900673">
      <w:pPr>
        <w:ind w:left="900"/>
      </w:pPr>
      <w:r>
        <w:t> </w:t>
      </w:r>
    </w:p>
    <w:p w:rsidR="00890B93" w:rsidRDefault="00890B93" w:rsidP="00946730">
      <w:pPr>
        <w:ind w:left="900"/>
      </w:pPr>
      <w:r>
        <w:t xml:space="preserve">BM spurgte hvorfor begreberne i licensaftalerne afviger fra Clarin terminologi (IdP, SP mv.). </w:t>
      </w:r>
    </w:p>
    <w:p w:rsidR="00890B93" w:rsidRDefault="00890B93" w:rsidP="00946730">
      <w:pPr>
        <w:ind w:left="900"/>
      </w:pPr>
      <w:r>
        <w:t xml:space="preserve">HFG forklarede at teksterne bruger standardbegreber for de juridiske parter i sådan en aftale. </w:t>
      </w:r>
    </w:p>
    <w:p w:rsidR="00890B93" w:rsidRDefault="00890B93" w:rsidP="00946730">
      <w:pPr>
        <w:ind w:left="900"/>
      </w:pPr>
    </w:p>
    <w:p w:rsidR="00890B93" w:rsidRDefault="00890B93" w:rsidP="00946730">
      <w:pPr>
        <w:ind w:left="900"/>
      </w:pPr>
      <w:r>
        <w:t>Det blev besluttet at skrive rolledefinitionerne ind som supplement til de juridiske termer.</w:t>
      </w:r>
    </w:p>
    <w:p w:rsidR="00890B93" w:rsidRDefault="00890B93" w:rsidP="00946730">
      <w:pPr>
        <w:ind w:left="900"/>
      </w:pPr>
      <w:r>
        <w:t> </w:t>
      </w:r>
    </w:p>
    <w:p w:rsidR="00890B93" w:rsidRDefault="00890B93" w:rsidP="00900673">
      <w:pPr>
        <w:ind w:left="900"/>
      </w:pPr>
      <w:r>
        <w:t>LTJ: Forskelle mellem PUB og ACA omkring bl.a. definitioner, fx Distribute (uden "to the public") i PUB mangler i ACA – og et antal lignende eksempler.</w:t>
      </w:r>
    </w:p>
    <w:p w:rsidR="00890B93" w:rsidRDefault="00890B93" w:rsidP="00900673">
      <w:pPr>
        <w:ind w:left="900"/>
      </w:pPr>
      <w:r>
        <w:t>HFG: Denne type forskelle er ikke tilsigtede, og det skal være ens i de to licenser.</w:t>
      </w:r>
    </w:p>
    <w:p w:rsidR="00890B93" w:rsidRDefault="00890B93" w:rsidP="00900673">
      <w:pPr>
        <w:ind w:left="900"/>
      </w:pPr>
      <w:r>
        <w:t> </w:t>
      </w:r>
    </w:p>
    <w:p w:rsidR="00890B93" w:rsidRDefault="00890B93" w:rsidP="00900673">
      <w:pPr>
        <w:ind w:left="900"/>
      </w:pPr>
      <w:r>
        <w:t>BM: LICENSE skrives både med stort og småt.</w:t>
      </w:r>
    </w:p>
    <w:p w:rsidR="00890B93" w:rsidRDefault="00890B93" w:rsidP="00900673">
      <w:pPr>
        <w:ind w:left="900"/>
      </w:pPr>
      <w:r>
        <w:t>HFG: Det skal være med stort gennem hele dokumentet.</w:t>
      </w:r>
    </w:p>
    <w:p w:rsidR="00890B93" w:rsidRDefault="00890B93" w:rsidP="00900673">
      <w:pPr>
        <w:ind w:left="900"/>
      </w:pPr>
      <w:r>
        <w:t> </w:t>
      </w:r>
    </w:p>
    <w:p w:rsidR="00890B93" w:rsidRDefault="00890B93" w:rsidP="00900673">
      <w:pPr>
        <w:ind w:left="900"/>
      </w:pPr>
      <w:r>
        <w:t>ASC: Der ser ikke ud til at være inkluderet optioner, ud over NC som er standard?</w:t>
      </w:r>
      <w:r>
        <w:br/>
        <w:t>HFG: Det vil ikke være hensigtsmæssigt at skulle lave så stor mængde af forskellige licenser.</w:t>
      </w:r>
    </w:p>
    <w:p w:rsidR="00890B93" w:rsidRDefault="00890B93" w:rsidP="00900673">
      <w:pPr>
        <w:ind w:left="900"/>
      </w:pPr>
      <w:r>
        <w:t>BM: Der kunne stilles krav om tilbagelevering af modificerede ACA-resurser?</w:t>
      </w:r>
    </w:p>
    <w:p w:rsidR="00890B93" w:rsidRDefault="00890B93" w:rsidP="00900673">
      <w:pPr>
        <w:ind w:left="900"/>
      </w:pPr>
    </w:p>
    <w:p w:rsidR="00890B93" w:rsidRDefault="00890B93" w:rsidP="00900673">
      <w:pPr>
        <w:ind w:left="900"/>
      </w:pPr>
      <w:r>
        <w:t xml:space="preserve">Delkonklusion: </w:t>
      </w:r>
    </w:p>
    <w:p w:rsidR="00890B93" w:rsidRDefault="00890B93" w:rsidP="00900673">
      <w:pPr>
        <w:ind w:left="900"/>
      </w:pPr>
      <w:r w:rsidRPr="001862A5">
        <w:rPr>
          <w:i/>
        </w:rPr>
        <w:t>Non-commercial</w:t>
      </w:r>
      <w:r>
        <w:t xml:space="preserve"> er inkluderet i standardlicenserne, det er fint.</w:t>
      </w:r>
    </w:p>
    <w:p w:rsidR="00890B93" w:rsidRDefault="00890B93" w:rsidP="00900673">
      <w:pPr>
        <w:ind w:left="900"/>
      </w:pPr>
      <w:r w:rsidRPr="001862A5">
        <w:rPr>
          <w:i/>
        </w:rPr>
        <w:t>Tilbagelevering</w:t>
      </w:r>
      <w:r>
        <w:t>: vi ønsker ikke tvang om tilbagelevering og ønsker ikke at risikere dårlige resurser eller eventuelt en stor redaktionel byrde omkring kvalitetssikring. Derfor okay at dette er udeladt.</w:t>
      </w:r>
    </w:p>
    <w:p w:rsidR="00890B93" w:rsidRPr="00D24D15" w:rsidRDefault="00890B93" w:rsidP="00900673">
      <w:pPr>
        <w:ind w:left="900"/>
      </w:pPr>
      <w:r w:rsidRPr="001862A5">
        <w:rPr>
          <w:i/>
        </w:rPr>
        <w:t>Indberetning</w:t>
      </w:r>
      <w:r>
        <w:t xml:space="preserve"> (oprindeligt Inf-option) af resurser blev ikke opfattet som et krav. Derimod var der stemning for at et krav om kreditering (svarende til Creative Commons </w:t>
      </w:r>
      <w:r>
        <w:rPr>
          <w:i/>
        </w:rPr>
        <w:t>Navngivelse</w:t>
      </w:r>
      <w:r>
        <w:t xml:space="preserve"> (CC-BY)) kunne indskrives i de generelle betingelser for brug af Clarin.dk.</w:t>
      </w:r>
    </w:p>
    <w:p w:rsidR="00890B93" w:rsidRDefault="00890B93" w:rsidP="00900673">
      <w:pPr>
        <w:ind w:left="900"/>
      </w:pPr>
      <w:r>
        <w:t> </w:t>
      </w:r>
    </w:p>
    <w:p w:rsidR="00890B93" w:rsidRDefault="00890B93" w:rsidP="00900673">
      <w:pPr>
        <w:ind w:left="900"/>
      </w:pPr>
      <w:r>
        <w:lastRenderedPageBreak/>
        <w:t xml:space="preserve">LTJ: Er vi gået helt væk fra CC? </w:t>
      </w:r>
    </w:p>
    <w:p w:rsidR="00890B93" w:rsidRDefault="00890B93" w:rsidP="00900673">
      <w:pPr>
        <w:ind w:left="900"/>
      </w:pPr>
      <w:r>
        <w:t>Svar: Ja, det har vist sig at CC ligger for langt fra specielt ACA-licenserne som under alle omstændigheder skal skrives forfra. </w:t>
      </w:r>
    </w:p>
    <w:p w:rsidR="00890B93" w:rsidRDefault="00890B93" w:rsidP="00900673">
      <w:pPr>
        <w:ind w:left="900"/>
      </w:pPr>
    </w:p>
    <w:p w:rsidR="00890B93" w:rsidRDefault="00890B93" w:rsidP="00900673">
      <w:pPr>
        <w:ind w:left="900"/>
      </w:pPr>
      <w:r>
        <w:t>Samlet beslutning: Vi anbefaler HFG's udkast til 1. version af infrastrukturen til styregruppen, med de rettelser og tilføjelser der er blevet besluttet under behandlingen.</w:t>
      </w:r>
    </w:p>
    <w:p w:rsidR="00890B93" w:rsidRDefault="00890B93" w:rsidP="00900673">
      <w:pPr>
        <w:ind w:left="900"/>
      </w:pPr>
    </w:p>
    <w:p w:rsidR="00890B93" w:rsidRDefault="00890B93" w:rsidP="00900673">
      <w:pPr>
        <w:ind w:left="900"/>
      </w:pPr>
      <w:r>
        <w:t>-&gt; BM kommer med revideret udkast, resten af udvalget læser og kommenterer, specielt skal HFG godkende. Udkastet kan uden videre sendes til styregruppen som bilag til mødet 1/2-2011.</w:t>
      </w:r>
    </w:p>
    <w:p w:rsidR="00890B93" w:rsidRDefault="00890B93" w:rsidP="00900673">
      <w:r>
        <w:t> </w:t>
      </w:r>
    </w:p>
    <w:p w:rsidR="00890B93" w:rsidRPr="00946730" w:rsidRDefault="00890B93" w:rsidP="00946730">
      <w:pPr>
        <w:pStyle w:val="Listeafsnit"/>
        <w:numPr>
          <w:ilvl w:val="1"/>
          <w:numId w:val="3"/>
        </w:numPr>
        <w:spacing w:line="240" w:lineRule="auto"/>
        <w:textAlignment w:val="center"/>
        <w:rPr>
          <w:rFonts w:cs="Calibri"/>
          <w:lang w:val="en-US"/>
        </w:rPr>
      </w:pPr>
      <w:r w:rsidRPr="00946730">
        <w:rPr>
          <w:rFonts w:cs="Calibri"/>
          <w:lang w:val="en-US"/>
        </w:rPr>
        <w:t xml:space="preserve">Deponeringsaftale </w:t>
      </w:r>
      <w:r w:rsidRPr="00946730">
        <w:rPr>
          <w:rFonts w:cs="Calibri"/>
          <w:bCs/>
          <w:i/>
          <w:iCs/>
          <w:lang w:val="en-GB"/>
        </w:rPr>
        <w:t>New Deposition License Agreement (Agreement)</w:t>
      </w:r>
    </w:p>
    <w:p w:rsidR="00890B93" w:rsidRPr="00C5652E" w:rsidRDefault="00890B93" w:rsidP="00946730">
      <w:pPr>
        <w:ind w:left="900"/>
        <w:rPr>
          <w:lang w:val="en-GB"/>
        </w:rPr>
      </w:pPr>
    </w:p>
    <w:p w:rsidR="00890B93" w:rsidRDefault="00890B93" w:rsidP="00946730">
      <w:pPr>
        <w:ind w:left="900"/>
      </w:pPr>
      <w:r>
        <w:t>"New" stryges fra titlen.</w:t>
      </w:r>
    </w:p>
    <w:p w:rsidR="00890B93" w:rsidRDefault="00890B93" w:rsidP="00946730">
      <w:pPr>
        <w:ind w:left="900"/>
      </w:pPr>
      <w:r>
        <w:t>Appendix: Computeren skal vælge den rigtige licenstype i henhold til brugers udfyldning af afkrydsningsfelt.</w:t>
      </w:r>
    </w:p>
    <w:p w:rsidR="00890B93" w:rsidRPr="001862A5" w:rsidRDefault="00890B93" w:rsidP="00946730">
      <w:pPr>
        <w:ind w:left="900"/>
      </w:pPr>
      <w:r w:rsidRPr="001862A5">
        <w:t>"You have additional chosen" fjernes da de pågældende optioner er udgået af licensteksterne.</w:t>
      </w:r>
    </w:p>
    <w:p w:rsidR="00890B93" w:rsidRDefault="00890B93" w:rsidP="00946730">
      <w:pPr>
        <w:ind w:left="900"/>
        <w:rPr>
          <w:rFonts w:cs="Calibri"/>
          <w:lang w:val="en-US"/>
        </w:rPr>
      </w:pPr>
      <w:r>
        <w:rPr>
          <w:rFonts w:cs="Calibri"/>
          <w:lang w:val="en-US"/>
        </w:rPr>
        <w:t>Ellers godkendt.</w:t>
      </w:r>
    </w:p>
    <w:p w:rsidR="00890B93" w:rsidRPr="001211D1" w:rsidRDefault="00890B93" w:rsidP="00946730">
      <w:pPr>
        <w:ind w:left="900"/>
        <w:rPr>
          <w:rFonts w:cs="Calibri"/>
          <w:lang w:val="en-US"/>
        </w:rPr>
      </w:pPr>
      <w:r w:rsidRPr="001211D1">
        <w:rPr>
          <w:rFonts w:cs="Calibri"/>
          <w:lang w:val="en-US"/>
        </w:rPr>
        <w:t> </w:t>
      </w:r>
    </w:p>
    <w:p w:rsidR="00890B93" w:rsidRPr="00946730" w:rsidRDefault="00890B93" w:rsidP="00946730">
      <w:pPr>
        <w:pStyle w:val="Listeafsnit"/>
        <w:numPr>
          <w:ilvl w:val="1"/>
          <w:numId w:val="3"/>
        </w:numPr>
        <w:spacing w:line="240" w:lineRule="auto"/>
        <w:textAlignment w:val="center"/>
        <w:rPr>
          <w:rFonts w:cs="Calibri"/>
          <w:i/>
        </w:rPr>
      </w:pPr>
      <w:r w:rsidRPr="00946730">
        <w:rPr>
          <w:rFonts w:cs="Calibri"/>
          <w:i/>
        </w:rPr>
        <w:t>Upgrade Agreement</w:t>
      </w:r>
    </w:p>
    <w:p w:rsidR="00890B93" w:rsidRDefault="00890B93" w:rsidP="00946730">
      <w:pPr>
        <w:ind w:left="900"/>
      </w:pPr>
      <w:r>
        <w:t> </w:t>
      </w:r>
    </w:p>
    <w:p w:rsidR="00890B93" w:rsidRDefault="00890B93" w:rsidP="00946730">
      <w:pPr>
        <w:ind w:left="900"/>
      </w:pPr>
      <w:r>
        <w:t>Denne aftale skal forstås som en statusændring af en eksisterende deponeringslicens.</w:t>
      </w:r>
    </w:p>
    <w:p w:rsidR="00890B93" w:rsidRPr="001211D1" w:rsidRDefault="00890B93" w:rsidP="00946730">
      <w:pPr>
        <w:ind w:left="900"/>
        <w:rPr>
          <w:lang w:val="en-US"/>
        </w:rPr>
      </w:pPr>
      <w:r w:rsidRPr="001211D1">
        <w:rPr>
          <w:lang w:val="en-US"/>
        </w:rPr>
        <w:t>Godkendt</w:t>
      </w:r>
      <w:r>
        <w:rPr>
          <w:lang w:val="en-US"/>
        </w:rPr>
        <w:t xml:space="preserve"> uden bemærkninger.</w:t>
      </w:r>
    </w:p>
    <w:p w:rsidR="00890B93" w:rsidRPr="001211D1" w:rsidRDefault="00890B93" w:rsidP="00946730">
      <w:pPr>
        <w:ind w:left="900"/>
        <w:rPr>
          <w:lang w:val="en-US"/>
        </w:rPr>
      </w:pPr>
      <w:r w:rsidRPr="001211D1">
        <w:rPr>
          <w:lang w:val="en-US"/>
        </w:rPr>
        <w:t> </w:t>
      </w:r>
    </w:p>
    <w:p w:rsidR="00890B93" w:rsidRPr="00946730" w:rsidRDefault="00890B93" w:rsidP="00946730">
      <w:pPr>
        <w:pStyle w:val="NormalWeb"/>
        <w:numPr>
          <w:ilvl w:val="1"/>
          <w:numId w:val="3"/>
        </w:numPr>
        <w:spacing w:before="0" w:beforeAutospacing="0" w:after="0" w:afterAutospacing="0"/>
        <w:rPr>
          <w:rFonts w:ascii="Calibri" w:hAnsi="Calibri" w:cs="Calibri"/>
          <w:i/>
          <w:sz w:val="22"/>
          <w:szCs w:val="22"/>
          <w:lang w:val="en-US"/>
        </w:rPr>
      </w:pPr>
      <w:r w:rsidRPr="00946730">
        <w:rPr>
          <w:rFonts w:ascii="Calibri" w:hAnsi="Calibri" w:cs="Calibri"/>
          <w:i/>
          <w:sz w:val="22"/>
          <w:szCs w:val="22"/>
          <w:lang w:val="en-US"/>
        </w:rPr>
        <w:t>Data Processor agreement between Content and Service Provider</w:t>
      </w:r>
    </w:p>
    <w:p w:rsidR="00890B93" w:rsidRDefault="00890B93" w:rsidP="00946730">
      <w:pPr>
        <w:ind w:left="900"/>
        <w:rPr>
          <w:lang w:val="en-US"/>
        </w:rPr>
      </w:pPr>
      <w:r w:rsidRPr="001211D1">
        <w:rPr>
          <w:lang w:val="en-US"/>
        </w:rPr>
        <w:t> </w:t>
      </w:r>
    </w:p>
    <w:p w:rsidR="00890B93" w:rsidRDefault="00890B93" w:rsidP="00946730">
      <w:pPr>
        <w:ind w:left="900"/>
      </w:pPr>
      <w:r>
        <w:t>Godkendt uden bemærkninger.</w:t>
      </w:r>
    </w:p>
    <w:p w:rsidR="00890B93" w:rsidRDefault="00890B93" w:rsidP="00946730">
      <w:pPr>
        <w:ind w:left="900"/>
      </w:pPr>
      <w:r>
        <w:t> </w:t>
      </w:r>
    </w:p>
    <w:p w:rsidR="00890B93" w:rsidRPr="0061698F" w:rsidRDefault="00890B93" w:rsidP="0061698F">
      <w:pPr>
        <w:pStyle w:val="Listeafsnit"/>
        <w:numPr>
          <w:ilvl w:val="1"/>
          <w:numId w:val="3"/>
        </w:numPr>
        <w:rPr>
          <w:lang w:val="en-US"/>
        </w:rPr>
      </w:pPr>
      <w:r w:rsidRPr="0061698F">
        <w:rPr>
          <w:bCs/>
          <w:i/>
          <w:iCs/>
          <w:lang w:val="en-GB"/>
        </w:rPr>
        <w:t>Application for Use of Restricted Data from the CLARIN DK Database</w:t>
      </w:r>
      <w:r w:rsidRPr="0061698F">
        <w:rPr>
          <w:lang w:val="en-US"/>
        </w:rPr>
        <w:t> </w:t>
      </w:r>
    </w:p>
    <w:p w:rsidR="00890B93" w:rsidRPr="00C5652E" w:rsidRDefault="00890B93" w:rsidP="00946730">
      <w:pPr>
        <w:ind w:left="900"/>
        <w:rPr>
          <w:lang w:val="en-GB"/>
        </w:rPr>
      </w:pPr>
    </w:p>
    <w:p w:rsidR="00890B93" w:rsidRDefault="00890B93" w:rsidP="00946730">
      <w:pPr>
        <w:ind w:left="900"/>
      </w:pPr>
      <w:r>
        <w:t>Godkendt uden bemærkninger.</w:t>
      </w:r>
    </w:p>
    <w:p w:rsidR="00890B93" w:rsidRDefault="00890B93" w:rsidP="00946730">
      <w:pPr>
        <w:ind w:left="900"/>
      </w:pPr>
      <w:r>
        <w:t> </w:t>
      </w:r>
    </w:p>
    <w:p w:rsidR="00890B93" w:rsidRDefault="00890B93" w:rsidP="0061698F">
      <w:pPr>
        <w:pStyle w:val="Listeafsnit"/>
        <w:numPr>
          <w:ilvl w:val="1"/>
          <w:numId w:val="3"/>
        </w:numPr>
      </w:pPr>
      <w:r w:rsidRPr="0061698F">
        <w:rPr>
          <w:bCs/>
          <w:i/>
          <w:iCs/>
          <w:lang w:val="en-GB"/>
        </w:rPr>
        <w:t>Data User Agreement</w:t>
      </w:r>
      <w:r w:rsidRPr="0061698F">
        <w:t> </w:t>
      </w:r>
    </w:p>
    <w:p w:rsidR="00890B93" w:rsidRDefault="00890B93" w:rsidP="0061698F">
      <w:pPr>
        <w:ind w:left="900"/>
      </w:pPr>
    </w:p>
    <w:p w:rsidR="00890B93" w:rsidRDefault="00890B93" w:rsidP="0061698F">
      <w:pPr>
        <w:ind w:left="900"/>
      </w:pPr>
      <w:r>
        <w:t>Godkendt uden bemærkninger.</w:t>
      </w:r>
    </w:p>
    <w:p w:rsidR="00890B93" w:rsidRDefault="00890B93" w:rsidP="0061698F">
      <w:pPr>
        <w:ind w:left="900"/>
      </w:pPr>
    </w:p>
    <w:p w:rsidR="00890B93" w:rsidRPr="0061698F" w:rsidRDefault="00890B93" w:rsidP="0061698F">
      <w:pPr>
        <w:pStyle w:val="Listeafsnit"/>
        <w:numPr>
          <w:ilvl w:val="1"/>
          <w:numId w:val="3"/>
        </w:numPr>
        <w:rPr>
          <w:lang w:val="en-US"/>
        </w:rPr>
      </w:pPr>
      <w:r w:rsidRPr="0061698F">
        <w:rPr>
          <w:bCs/>
          <w:i/>
          <w:iCs/>
          <w:lang w:val="en-GB"/>
        </w:rPr>
        <w:t>Guidelines for Consent Forms for Collecting Personal Data</w:t>
      </w:r>
    </w:p>
    <w:p w:rsidR="00890B93" w:rsidRDefault="00890B93" w:rsidP="0061698F">
      <w:pPr>
        <w:rPr>
          <w:lang w:val="en-US"/>
        </w:rPr>
      </w:pPr>
    </w:p>
    <w:p w:rsidR="00890B93" w:rsidRPr="0061698F" w:rsidRDefault="00890B93" w:rsidP="0061698F">
      <w:pPr>
        <w:ind w:left="900"/>
      </w:pPr>
      <w:r w:rsidRPr="0061698F">
        <w:t>Der er tale om guidelines, snarere end om en egentlig aftaletekst.</w:t>
      </w:r>
    </w:p>
    <w:p w:rsidR="00890B93" w:rsidRDefault="00890B93" w:rsidP="0061698F">
      <w:pPr>
        <w:ind w:left="900"/>
      </w:pPr>
      <w:r>
        <w:t>Godkendt uden bemærkninger.</w:t>
      </w:r>
    </w:p>
    <w:p w:rsidR="00890B93" w:rsidRPr="0061698F" w:rsidRDefault="00890B93" w:rsidP="0061698F">
      <w:pPr>
        <w:ind w:left="900"/>
      </w:pPr>
    </w:p>
    <w:p w:rsidR="00890B93" w:rsidRPr="00EF41F9" w:rsidRDefault="00890B93" w:rsidP="00EF41F9">
      <w:pPr>
        <w:pStyle w:val="Listeafsnit"/>
        <w:numPr>
          <w:ilvl w:val="1"/>
          <w:numId w:val="3"/>
        </w:numPr>
        <w:spacing w:line="240" w:lineRule="auto"/>
        <w:textAlignment w:val="center"/>
        <w:rPr>
          <w:rFonts w:cs="Calibri"/>
        </w:rPr>
      </w:pPr>
      <w:r w:rsidRPr="00EF41F9">
        <w:rPr>
          <w:rFonts w:cs="Calibri"/>
        </w:rPr>
        <w:t>Eksempler på Leverandøraftaler (Lars)</w:t>
      </w:r>
    </w:p>
    <w:p w:rsidR="00890B93" w:rsidRDefault="00890B93" w:rsidP="00EF41F9">
      <w:pPr>
        <w:ind w:left="900"/>
      </w:pPr>
      <w:r>
        <w:t> </w:t>
      </w:r>
    </w:p>
    <w:p w:rsidR="00890B93" w:rsidRDefault="00890B93" w:rsidP="00EF41F9">
      <w:pPr>
        <w:ind w:left="900"/>
      </w:pPr>
      <w:r>
        <w:t>LTJ: Referencer til CC bør fjernes så der kun refereres til PUB og ACA.</w:t>
      </w:r>
    </w:p>
    <w:p w:rsidR="00890B93" w:rsidRDefault="00890B93" w:rsidP="00EF41F9">
      <w:pPr>
        <w:ind w:left="900"/>
      </w:pPr>
      <w:r>
        <w:lastRenderedPageBreak/>
        <w:t>HFG: Sidste afsnit på side 1: Tekstmaterialet gøres tilgængeligt for offentligheden. På næste side indskrænkes den efterfølgende. Det burde være enten-eller.</w:t>
      </w:r>
    </w:p>
    <w:p w:rsidR="00890B93" w:rsidRDefault="00890B93" w:rsidP="00EF41F9">
      <w:pPr>
        <w:ind w:left="900"/>
      </w:pPr>
      <w:r>
        <w:t>Der blev diskuteret omkring begrebet citatretten. LTJ ønsker rettighedshaverne til at acceptere at citatretten omfatter 100 ord før og efter et givent ord. HFG påpegede at der har været flere retssager omkring fastlæggelse af citatretten, og at denne ikke kan defineres til et bestemt antal ord.</w:t>
      </w:r>
    </w:p>
    <w:p w:rsidR="00890B93" w:rsidRDefault="00890B93" w:rsidP="00EF41F9">
      <w:pPr>
        <w:ind w:left="900"/>
      </w:pPr>
      <w:r>
        <w:t>Det blev diskuteret hvordan begrebet ”tredje part” defineres. Er det dem der nævnes i teksten? HFG foreslog at skrive ”tredje part som defineret nedenfor” med den nævnte liste og her også at give Clarin.dk et punktnummer.</w:t>
      </w:r>
    </w:p>
    <w:p w:rsidR="00890B93" w:rsidRDefault="00890B93" w:rsidP="00EF41F9">
      <w:pPr>
        <w:ind w:left="900"/>
      </w:pPr>
      <w:r>
        <w:t> </w:t>
      </w:r>
    </w:p>
    <w:p w:rsidR="00890B93" w:rsidRDefault="00890B93" w:rsidP="00EF41F9">
      <w:pPr>
        <w:ind w:left="900"/>
      </w:pPr>
      <w:r>
        <w:t xml:space="preserve">Vedr. LTJ's spørgsmål om underskrifter ved kontraktindgåelse: </w:t>
      </w:r>
    </w:p>
    <w:p w:rsidR="00890B93" w:rsidRDefault="00890B93" w:rsidP="00EF41F9">
      <w:pPr>
        <w:ind w:left="900"/>
      </w:pPr>
      <w:r>
        <w:t>HFG gør opmærksom på at kammeradvokaten kræver at der skal foreligge underskrevne originaldokumenter.</w:t>
      </w:r>
    </w:p>
    <w:p w:rsidR="00890B93" w:rsidRDefault="00890B93" w:rsidP="00EF41F9">
      <w:pPr>
        <w:ind w:left="900"/>
      </w:pPr>
      <w:r>
        <w:t> </w:t>
      </w:r>
    </w:p>
    <w:p w:rsidR="00890B93" w:rsidRDefault="00890B93" w:rsidP="00EF41F9">
      <w:pPr>
        <w:ind w:left="900"/>
      </w:pPr>
      <w:r>
        <w:t>HFG har ikke med den her førte diskussion taget stilling til overensstemmelsen mellem DSL's leverandørkontrakter og de nu vedtagne Clarin slutbrugeraftaler.</w:t>
      </w:r>
    </w:p>
    <w:p w:rsidR="00890B93" w:rsidRDefault="00890B93" w:rsidP="00EF41F9">
      <w:pPr>
        <w:ind w:left="900"/>
      </w:pPr>
      <w:r>
        <w:t> </w:t>
      </w:r>
    </w:p>
    <w:p w:rsidR="00890B93" w:rsidRDefault="00890B93" w:rsidP="00EF41F9">
      <w:pPr>
        <w:ind w:left="900"/>
      </w:pPr>
      <w:r>
        <w:t xml:space="preserve">LTJ vil være villig til at tilbyde en skabelon ud fra DSL's kontrakter. Der blev lagt vægt på at det er et DSL dokument. </w:t>
      </w:r>
    </w:p>
    <w:p w:rsidR="00890B93" w:rsidRDefault="00890B93" w:rsidP="00EF41F9">
      <w:pPr>
        <w:ind w:left="900"/>
      </w:pPr>
      <w:r>
        <w:t> </w:t>
      </w:r>
    </w:p>
    <w:p w:rsidR="00890B93" w:rsidRDefault="00890B93" w:rsidP="00EF41F9">
      <w:pPr>
        <w:pStyle w:val="Listeafsnit"/>
        <w:numPr>
          <w:ilvl w:val="0"/>
          <w:numId w:val="3"/>
        </w:numPr>
      </w:pPr>
      <w:r>
        <w:t>Behov for yderligere dokumenter (i henhold til vedhæftede notat)</w:t>
      </w:r>
    </w:p>
    <w:p w:rsidR="00890B93" w:rsidRDefault="00890B93" w:rsidP="00DE3FE5">
      <w:pPr>
        <w:ind w:left="540"/>
      </w:pPr>
      <w:r>
        <w:t> </w:t>
      </w:r>
    </w:p>
    <w:p w:rsidR="00890B93" w:rsidRDefault="00890B93" w:rsidP="00DE3FE5">
      <w:pPr>
        <w:ind w:left="540"/>
      </w:pPr>
      <w:r>
        <w:t xml:space="preserve">ASC opregnede at der i forhold til notatet </w:t>
      </w:r>
      <w:r w:rsidRPr="00EF41F9">
        <w:rPr>
          <w:i/>
        </w:rPr>
        <w:t>Licenser og juridiske aftaler i DK-CLARIN</w:t>
      </w:r>
      <w:r>
        <w:t xml:space="preserve"> mangler udkast til to dokumenter: Almindelige betingelser (Terms of Service) og </w:t>
      </w:r>
      <w:r w:rsidRPr="006C3B71">
        <w:t>Politik omkring beskyttelse af identitet og private oplysninger</w:t>
      </w:r>
      <w:r>
        <w:t xml:space="preserve"> (Privacy Policy). Der var enighed i udvalget om at begge disse to dokumenter er nødvendige.</w:t>
      </w:r>
    </w:p>
    <w:p w:rsidR="00890B93" w:rsidRDefault="00890B93" w:rsidP="00DE3FE5">
      <w:pPr>
        <w:ind w:left="540"/>
      </w:pPr>
    </w:p>
    <w:p w:rsidR="00890B93" w:rsidRDefault="00890B93" w:rsidP="00DE3FE5">
      <w:pPr>
        <w:ind w:left="540"/>
      </w:pPr>
      <w:r>
        <w:rPr>
          <w:i/>
        </w:rPr>
        <w:t xml:space="preserve">Almindelige </w:t>
      </w:r>
      <w:r w:rsidRPr="00DE3FE5">
        <w:t>betingelser</w:t>
      </w:r>
      <w:r>
        <w:t xml:space="preserve"> s</w:t>
      </w:r>
      <w:r w:rsidRPr="00DE3FE5">
        <w:t>kal</w:t>
      </w:r>
      <w:r>
        <w:t xml:space="preserve"> gøre rede for almindelige principper for brugen: citering, kreditering, deponering af modificerede versioner osv.</w:t>
      </w:r>
    </w:p>
    <w:p w:rsidR="00890B93" w:rsidRDefault="00890B93" w:rsidP="00DE3FE5">
      <w:pPr>
        <w:ind w:left="540"/>
      </w:pPr>
      <w:r>
        <w:t> </w:t>
      </w:r>
    </w:p>
    <w:p w:rsidR="00890B93" w:rsidRDefault="00890B93" w:rsidP="00DE3FE5">
      <w:pPr>
        <w:ind w:left="540"/>
      </w:pPr>
      <w:r w:rsidRPr="00DE3FE5">
        <w:rPr>
          <w:i/>
        </w:rPr>
        <w:t>Politik omkring brug af private oplysninger</w:t>
      </w:r>
      <w:r>
        <w:rPr>
          <w:i/>
        </w:rPr>
        <w:t>:</w:t>
      </w:r>
      <w:r>
        <w:t xml:space="preserve"> Her kan vi finde eksempler på fx DSL og IT- og Telestyrelsen.</w:t>
      </w:r>
    </w:p>
    <w:p w:rsidR="00890B93" w:rsidRDefault="00890B93" w:rsidP="00DE3FE5">
      <w:pPr>
        <w:ind w:left="540"/>
      </w:pPr>
      <w:r>
        <w:t> </w:t>
      </w:r>
    </w:p>
    <w:p w:rsidR="00890B93" w:rsidRDefault="00890B93" w:rsidP="001211D1">
      <w:pPr>
        <w:numPr>
          <w:ilvl w:val="0"/>
          <w:numId w:val="11"/>
        </w:numPr>
        <w:spacing w:line="240" w:lineRule="auto"/>
        <w:ind w:left="540"/>
        <w:textAlignment w:val="center"/>
        <w:rPr>
          <w:rFonts w:cs="Calibri"/>
        </w:rPr>
      </w:pPr>
      <w:r>
        <w:rPr>
          <w:rFonts w:cs="Calibri"/>
        </w:rPr>
        <w:t>Håndtering af REStricted licenser (deponering, licensbehandling, hentning)</w:t>
      </w:r>
    </w:p>
    <w:p w:rsidR="00890B93" w:rsidRDefault="00890B93" w:rsidP="001211D1">
      <w:pPr>
        <w:numPr>
          <w:ilvl w:val="1"/>
          <w:numId w:val="12"/>
        </w:numPr>
        <w:spacing w:line="240" w:lineRule="auto"/>
        <w:ind w:left="1080"/>
        <w:textAlignment w:val="center"/>
        <w:rPr>
          <w:rFonts w:cs="Calibri"/>
        </w:rPr>
      </w:pPr>
      <w:r>
        <w:rPr>
          <w:rFonts w:cs="Calibri"/>
        </w:rPr>
        <w:t>Hvem tildeler disse licenser og forfatter licensteksten?</w:t>
      </w:r>
    </w:p>
    <w:p w:rsidR="00890B93" w:rsidRDefault="00890B93">
      <w:pPr>
        <w:pStyle w:val="NormalWeb"/>
        <w:spacing w:before="0" w:beforeAutospacing="0" w:after="0" w:afterAutospacing="0"/>
        <w:ind w:left="1080"/>
        <w:rPr>
          <w:rFonts w:ascii="Calibri" w:hAnsi="Calibri" w:cs="Calibri"/>
          <w:sz w:val="22"/>
          <w:szCs w:val="22"/>
        </w:rPr>
      </w:pPr>
      <w:r>
        <w:rPr>
          <w:rFonts w:ascii="Calibri" w:hAnsi="Calibri" w:cs="Calibri"/>
          <w:sz w:val="22"/>
          <w:szCs w:val="22"/>
        </w:rPr>
        <w:t>Indholdsudbyderen tildeler licenser og skriver licensteksten</w:t>
      </w:r>
    </w:p>
    <w:p w:rsidR="00890B93" w:rsidRDefault="00890B93" w:rsidP="001211D1">
      <w:pPr>
        <w:numPr>
          <w:ilvl w:val="0"/>
          <w:numId w:val="13"/>
        </w:numPr>
        <w:spacing w:line="240" w:lineRule="auto"/>
        <w:ind w:left="1080"/>
        <w:textAlignment w:val="center"/>
        <w:rPr>
          <w:rFonts w:cs="Calibri"/>
        </w:rPr>
      </w:pPr>
      <w:r>
        <w:rPr>
          <w:rFonts w:cs="Calibri"/>
        </w:rPr>
        <w:t>Hvad skal der gøres for at oprette og tildele en RES licens på en resurse?</w:t>
      </w:r>
    </w:p>
    <w:p w:rsidR="00890B93" w:rsidRDefault="00890B93" w:rsidP="00DE3FE5">
      <w:pPr>
        <w:spacing w:line="240" w:lineRule="auto"/>
        <w:ind w:left="1080"/>
        <w:textAlignment w:val="center"/>
        <w:rPr>
          <w:rFonts w:cs="Calibri"/>
        </w:rPr>
      </w:pPr>
      <w:r>
        <w:rPr>
          <w:rFonts w:cs="Calibri"/>
        </w:rPr>
        <w:t>Der skal etableres et aftalegrundlag mellem indholdsudbyder og Clarin.dk, baseret på udkast fra indholdsudbyderen. Processen er manuel, der inkluderes ikke automatiseret support i den tekniske infrastruktur.</w:t>
      </w:r>
    </w:p>
    <w:p w:rsidR="00890B93" w:rsidRDefault="00890B93" w:rsidP="001211D1">
      <w:pPr>
        <w:numPr>
          <w:ilvl w:val="0"/>
          <w:numId w:val="14"/>
        </w:numPr>
        <w:spacing w:line="240" w:lineRule="auto"/>
        <w:ind w:left="1080"/>
        <w:textAlignment w:val="center"/>
        <w:rPr>
          <w:rFonts w:cs="Calibri"/>
        </w:rPr>
      </w:pPr>
      <w:r>
        <w:rPr>
          <w:rFonts w:cs="Calibri"/>
        </w:rPr>
        <w:t>Hvordan ansøger man om licensen, og hvordan administreres en RES licens?</w:t>
      </w:r>
    </w:p>
    <w:p w:rsidR="00890B93" w:rsidRDefault="00890B93">
      <w:pPr>
        <w:pStyle w:val="NormalWeb"/>
        <w:spacing w:before="0" w:beforeAutospacing="0" w:after="0" w:afterAutospacing="0"/>
        <w:ind w:left="1080"/>
        <w:rPr>
          <w:rFonts w:ascii="Calibri" w:hAnsi="Calibri" w:cs="Calibri"/>
          <w:sz w:val="22"/>
          <w:szCs w:val="22"/>
        </w:rPr>
      </w:pPr>
      <w:r>
        <w:rPr>
          <w:rFonts w:ascii="Calibri" w:hAnsi="Calibri" w:cs="Calibri"/>
          <w:sz w:val="22"/>
          <w:szCs w:val="22"/>
        </w:rPr>
        <w:t xml:space="preserve">Når aftalegrundlaget med en bruger er på plads, kan en administrativ medarbejder oprette tilladelserne i repositoriet. Der etableres ingen automatiseret support i den tekniske infrastruktur. </w:t>
      </w:r>
    </w:p>
    <w:p w:rsidR="00890B93" w:rsidRDefault="00890B93">
      <w:pPr>
        <w:pStyle w:val="NormalWeb"/>
        <w:spacing w:before="0" w:beforeAutospacing="0" w:after="0" w:afterAutospacing="0"/>
        <w:ind w:left="1080"/>
        <w:rPr>
          <w:rFonts w:ascii="Calibri" w:hAnsi="Calibri" w:cs="Calibri"/>
          <w:sz w:val="22"/>
          <w:szCs w:val="22"/>
        </w:rPr>
      </w:pPr>
      <w:r>
        <w:rPr>
          <w:rFonts w:ascii="Calibri" w:hAnsi="Calibri" w:cs="Calibri"/>
          <w:sz w:val="22"/>
          <w:szCs w:val="22"/>
        </w:rPr>
        <w:t> </w:t>
      </w:r>
    </w:p>
    <w:p w:rsidR="00890B93" w:rsidRDefault="00890B93" w:rsidP="001211D1">
      <w:pPr>
        <w:numPr>
          <w:ilvl w:val="0"/>
          <w:numId w:val="15"/>
        </w:numPr>
        <w:spacing w:line="240" w:lineRule="auto"/>
        <w:ind w:left="540"/>
        <w:textAlignment w:val="center"/>
        <w:rPr>
          <w:rFonts w:cs="Calibri"/>
        </w:rPr>
      </w:pPr>
      <w:r>
        <w:rPr>
          <w:rFonts w:cs="Calibri"/>
        </w:rPr>
        <w:lastRenderedPageBreak/>
        <w:t>Adgang til data fra værktøjer (kort baggrundsbeskrivelse udsendt inden mødet)</w:t>
      </w:r>
    </w:p>
    <w:p w:rsidR="00890B93" w:rsidRDefault="00890B93" w:rsidP="001211D1">
      <w:pPr>
        <w:numPr>
          <w:ilvl w:val="1"/>
          <w:numId w:val="16"/>
        </w:numPr>
        <w:spacing w:line="240" w:lineRule="auto"/>
        <w:ind w:left="1080"/>
        <w:textAlignment w:val="center"/>
        <w:rPr>
          <w:rFonts w:cs="Calibri"/>
        </w:rPr>
      </w:pPr>
      <w:r>
        <w:rPr>
          <w:rFonts w:cs="Calibri"/>
        </w:rPr>
        <w:t>Eksternt data skal have adgang til beskyttede data</w:t>
      </w:r>
    </w:p>
    <w:p w:rsidR="00890B93" w:rsidRDefault="00890B93" w:rsidP="001211D1">
      <w:pPr>
        <w:numPr>
          <w:ilvl w:val="1"/>
          <w:numId w:val="17"/>
        </w:numPr>
        <w:spacing w:line="240" w:lineRule="auto"/>
        <w:ind w:left="1080"/>
        <w:textAlignment w:val="center"/>
        <w:rPr>
          <w:rFonts w:cs="Calibri"/>
        </w:rPr>
      </w:pPr>
      <w:r>
        <w:rPr>
          <w:rFonts w:cs="Calibri"/>
        </w:rPr>
        <w:t>Eksternt værktøj vil lagre kopi af beskyttede data</w:t>
      </w:r>
    </w:p>
    <w:p w:rsidR="00890B93" w:rsidRDefault="00890B93" w:rsidP="00DE3FE5">
      <w:pPr>
        <w:spacing w:line="240" w:lineRule="auto"/>
        <w:ind w:left="720"/>
        <w:textAlignment w:val="center"/>
        <w:rPr>
          <w:rFonts w:cs="Calibri"/>
        </w:rPr>
      </w:pPr>
    </w:p>
    <w:p w:rsidR="00890B93" w:rsidRDefault="00890B93" w:rsidP="00DE3FE5">
      <w:pPr>
        <w:spacing w:line="240" w:lineRule="auto"/>
        <w:ind w:left="720"/>
        <w:textAlignment w:val="center"/>
        <w:rPr>
          <w:rFonts w:cs="Calibri"/>
        </w:rPr>
      </w:pPr>
      <w:r>
        <w:rPr>
          <w:rFonts w:cs="Calibri"/>
        </w:rPr>
        <w:t>Dette punkt måtte udskydes på grund af tidsmangel.</w:t>
      </w:r>
    </w:p>
    <w:p w:rsidR="00890B93" w:rsidRDefault="00890B93" w:rsidP="00DE3FE5">
      <w:pPr>
        <w:spacing w:line="240" w:lineRule="auto"/>
        <w:ind w:left="720"/>
        <w:textAlignment w:val="center"/>
        <w:rPr>
          <w:rFonts w:cs="Calibri"/>
        </w:rPr>
      </w:pPr>
    </w:p>
    <w:p w:rsidR="00890B93" w:rsidRDefault="00890B93" w:rsidP="001211D1">
      <w:pPr>
        <w:numPr>
          <w:ilvl w:val="0"/>
          <w:numId w:val="18"/>
        </w:numPr>
        <w:spacing w:line="240" w:lineRule="auto"/>
        <w:ind w:left="540"/>
        <w:textAlignment w:val="center"/>
        <w:rPr>
          <w:rFonts w:cs="Calibri"/>
        </w:rPr>
      </w:pPr>
      <w:r>
        <w:rPr>
          <w:rFonts w:cs="Calibri"/>
        </w:rPr>
        <w:t>Aftale om det videre forløb</w:t>
      </w:r>
    </w:p>
    <w:p w:rsidR="00890B93" w:rsidRDefault="00890B93" w:rsidP="001211D1">
      <w:pPr>
        <w:numPr>
          <w:ilvl w:val="1"/>
          <w:numId w:val="19"/>
        </w:numPr>
        <w:spacing w:line="240" w:lineRule="auto"/>
        <w:ind w:left="1080"/>
        <w:textAlignment w:val="center"/>
        <w:rPr>
          <w:rFonts w:cs="Calibri"/>
        </w:rPr>
      </w:pPr>
      <w:r>
        <w:rPr>
          <w:rFonts w:cs="Calibri"/>
        </w:rPr>
        <w:t>Færdiggørelse af dokumenter</w:t>
      </w:r>
    </w:p>
    <w:p w:rsidR="00890B93" w:rsidRDefault="00890B93" w:rsidP="001211D1">
      <w:pPr>
        <w:numPr>
          <w:ilvl w:val="1"/>
          <w:numId w:val="20"/>
        </w:numPr>
        <w:spacing w:line="240" w:lineRule="auto"/>
        <w:ind w:left="1080"/>
        <w:textAlignment w:val="center"/>
        <w:rPr>
          <w:rFonts w:cs="Calibri"/>
        </w:rPr>
      </w:pPr>
      <w:r>
        <w:rPr>
          <w:rFonts w:cs="Calibri"/>
        </w:rPr>
        <w:t>Workflow for deponering</w:t>
      </w:r>
    </w:p>
    <w:p w:rsidR="00890B93" w:rsidRDefault="00890B93" w:rsidP="001211D1">
      <w:pPr>
        <w:numPr>
          <w:ilvl w:val="1"/>
          <w:numId w:val="21"/>
        </w:numPr>
        <w:spacing w:line="240" w:lineRule="auto"/>
        <w:ind w:left="1080"/>
        <w:textAlignment w:val="center"/>
        <w:rPr>
          <w:rFonts w:cs="Calibri"/>
        </w:rPr>
      </w:pPr>
      <w:r>
        <w:rPr>
          <w:rFonts w:cs="Calibri"/>
        </w:rPr>
        <w:t>Workflow for læsning/hentning af licensbelagt resurse (ACA eller RES)</w:t>
      </w:r>
    </w:p>
    <w:p w:rsidR="00890B93" w:rsidRDefault="00890B93">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890B93" w:rsidRDefault="00890B93">
      <w:pPr>
        <w:pStyle w:val="NormalWeb"/>
        <w:spacing w:before="0" w:beforeAutospacing="0" w:after="0" w:afterAutospacing="0"/>
        <w:ind w:left="540"/>
        <w:rPr>
          <w:rFonts w:ascii="Calibri" w:hAnsi="Calibri" w:cs="Calibri"/>
          <w:sz w:val="22"/>
          <w:szCs w:val="22"/>
        </w:rPr>
      </w:pPr>
      <w:r>
        <w:rPr>
          <w:rFonts w:ascii="Calibri" w:hAnsi="Calibri" w:cs="Calibri"/>
          <w:sz w:val="22"/>
          <w:szCs w:val="22"/>
        </w:rPr>
        <w:t> Punktet afventer styregruppens behandling af udkastene til slutbrugerlicens.</w:t>
      </w:r>
    </w:p>
    <w:p w:rsidR="00890B93" w:rsidRDefault="00890B93"/>
    <w:sectPr w:rsidR="00890B93" w:rsidSect="00D24D15">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14B19"/>
    <w:multiLevelType w:val="multilevel"/>
    <w:tmpl w:val="39B09E0E"/>
    <w:lvl w:ilvl="0">
      <w:start w:val="3"/>
      <w:numFmt w:val="lowerLetter"/>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hint="default"/>
      </w:rPr>
    </w:lvl>
    <w:lvl w:ilvl="2">
      <w:start w:val="1"/>
      <w:numFmt w:val="lowerLetter"/>
      <w:lvlText w:val="%3."/>
      <w:lvlJc w:val="left"/>
      <w:pPr>
        <w:tabs>
          <w:tab w:val="num" w:pos="2340"/>
        </w:tabs>
        <w:ind w:left="2340" w:hanging="360"/>
      </w:pPr>
      <w:rPr>
        <w:rFonts w:cs="Times New Roman" w:hint="default"/>
      </w:rPr>
    </w:lvl>
    <w:lvl w:ilvl="3">
      <w:start w:val="1"/>
      <w:numFmt w:val="lowerLetter"/>
      <w:lvlText w:val="%4."/>
      <w:lvlJc w:val="left"/>
      <w:pPr>
        <w:tabs>
          <w:tab w:val="num" w:pos="3060"/>
        </w:tabs>
        <w:ind w:left="3060" w:hanging="360"/>
      </w:pPr>
      <w:rPr>
        <w:rFonts w:cs="Times New Roman" w:hint="default"/>
      </w:rPr>
    </w:lvl>
    <w:lvl w:ilvl="4">
      <w:start w:val="1"/>
      <w:numFmt w:val="lowerLetter"/>
      <w:lvlText w:val="%5."/>
      <w:lvlJc w:val="left"/>
      <w:pPr>
        <w:tabs>
          <w:tab w:val="num" w:pos="3780"/>
        </w:tabs>
        <w:ind w:left="3780" w:hanging="360"/>
      </w:pPr>
      <w:rPr>
        <w:rFonts w:cs="Times New Roman" w:hint="default"/>
      </w:rPr>
    </w:lvl>
    <w:lvl w:ilvl="5">
      <w:start w:val="1"/>
      <w:numFmt w:val="lowerLetter"/>
      <w:lvlText w:val="%6."/>
      <w:lvlJc w:val="left"/>
      <w:pPr>
        <w:tabs>
          <w:tab w:val="num" w:pos="4500"/>
        </w:tabs>
        <w:ind w:left="4500" w:hanging="360"/>
      </w:pPr>
      <w:rPr>
        <w:rFonts w:cs="Times New Roman" w:hint="default"/>
      </w:rPr>
    </w:lvl>
    <w:lvl w:ilvl="6">
      <w:start w:val="1"/>
      <w:numFmt w:val="lowerLetter"/>
      <w:lvlText w:val="%7."/>
      <w:lvlJc w:val="left"/>
      <w:pPr>
        <w:tabs>
          <w:tab w:val="num" w:pos="5220"/>
        </w:tabs>
        <w:ind w:left="5220" w:hanging="360"/>
      </w:pPr>
      <w:rPr>
        <w:rFonts w:cs="Times New Roman" w:hint="default"/>
      </w:rPr>
    </w:lvl>
    <w:lvl w:ilvl="7">
      <w:start w:val="1"/>
      <w:numFmt w:val="lowerLetter"/>
      <w:lvlText w:val="%8."/>
      <w:lvlJc w:val="left"/>
      <w:pPr>
        <w:tabs>
          <w:tab w:val="num" w:pos="5940"/>
        </w:tabs>
        <w:ind w:left="5940" w:hanging="360"/>
      </w:pPr>
      <w:rPr>
        <w:rFonts w:cs="Times New Roman" w:hint="default"/>
      </w:rPr>
    </w:lvl>
    <w:lvl w:ilvl="8">
      <w:start w:val="1"/>
      <w:numFmt w:val="lowerLetter"/>
      <w:lvlText w:val="%9."/>
      <w:lvlJc w:val="left"/>
      <w:pPr>
        <w:tabs>
          <w:tab w:val="num" w:pos="6660"/>
        </w:tabs>
        <w:ind w:left="6660" w:hanging="360"/>
      </w:pPr>
      <w:rPr>
        <w:rFonts w:cs="Times New Roman" w:hint="default"/>
      </w:rPr>
    </w:lvl>
  </w:abstractNum>
  <w:abstractNum w:abstractNumId="1">
    <w:nsid w:val="152B38F0"/>
    <w:multiLevelType w:val="multilevel"/>
    <w:tmpl w:val="17DA4B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B4C62FC"/>
    <w:multiLevelType w:val="multilevel"/>
    <w:tmpl w:val="704210BC"/>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
    <w:nsid w:val="38BC43C3"/>
    <w:multiLevelType w:val="multilevel"/>
    <w:tmpl w:val="D370E75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3D15188B"/>
    <w:multiLevelType w:val="multilevel"/>
    <w:tmpl w:val="796496D4"/>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
    <w:nsid w:val="413B2DE7"/>
    <w:multiLevelType w:val="multilevel"/>
    <w:tmpl w:val="5F24843E"/>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6">
    <w:nsid w:val="530D6201"/>
    <w:multiLevelType w:val="hybridMultilevel"/>
    <w:tmpl w:val="1FBA7B72"/>
    <w:lvl w:ilvl="0" w:tplc="04060001">
      <w:start w:val="1"/>
      <w:numFmt w:val="bullet"/>
      <w:lvlText w:val=""/>
      <w:lvlJc w:val="left"/>
      <w:pPr>
        <w:ind w:left="1620" w:hanging="360"/>
      </w:pPr>
      <w:rPr>
        <w:rFonts w:ascii="Symbol" w:hAnsi="Symbol" w:hint="default"/>
      </w:rPr>
    </w:lvl>
    <w:lvl w:ilvl="1" w:tplc="04060003" w:tentative="1">
      <w:start w:val="1"/>
      <w:numFmt w:val="bullet"/>
      <w:lvlText w:val="o"/>
      <w:lvlJc w:val="left"/>
      <w:pPr>
        <w:ind w:left="2340" w:hanging="360"/>
      </w:pPr>
      <w:rPr>
        <w:rFonts w:ascii="Courier New" w:hAnsi="Courier New" w:hint="default"/>
      </w:rPr>
    </w:lvl>
    <w:lvl w:ilvl="2" w:tplc="04060005" w:tentative="1">
      <w:start w:val="1"/>
      <w:numFmt w:val="bullet"/>
      <w:lvlText w:val=""/>
      <w:lvlJc w:val="left"/>
      <w:pPr>
        <w:ind w:left="3060" w:hanging="360"/>
      </w:pPr>
      <w:rPr>
        <w:rFonts w:ascii="Wingdings" w:hAnsi="Wingdings" w:hint="default"/>
      </w:rPr>
    </w:lvl>
    <w:lvl w:ilvl="3" w:tplc="04060001" w:tentative="1">
      <w:start w:val="1"/>
      <w:numFmt w:val="bullet"/>
      <w:lvlText w:val=""/>
      <w:lvlJc w:val="left"/>
      <w:pPr>
        <w:ind w:left="3780" w:hanging="360"/>
      </w:pPr>
      <w:rPr>
        <w:rFonts w:ascii="Symbol" w:hAnsi="Symbol" w:hint="default"/>
      </w:rPr>
    </w:lvl>
    <w:lvl w:ilvl="4" w:tplc="04060003" w:tentative="1">
      <w:start w:val="1"/>
      <w:numFmt w:val="bullet"/>
      <w:lvlText w:val="o"/>
      <w:lvlJc w:val="left"/>
      <w:pPr>
        <w:ind w:left="4500" w:hanging="360"/>
      </w:pPr>
      <w:rPr>
        <w:rFonts w:ascii="Courier New" w:hAnsi="Courier New" w:hint="default"/>
      </w:rPr>
    </w:lvl>
    <w:lvl w:ilvl="5" w:tplc="04060005" w:tentative="1">
      <w:start w:val="1"/>
      <w:numFmt w:val="bullet"/>
      <w:lvlText w:val=""/>
      <w:lvlJc w:val="left"/>
      <w:pPr>
        <w:ind w:left="5220" w:hanging="360"/>
      </w:pPr>
      <w:rPr>
        <w:rFonts w:ascii="Wingdings" w:hAnsi="Wingdings" w:hint="default"/>
      </w:rPr>
    </w:lvl>
    <w:lvl w:ilvl="6" w:tplc="04060001" w:tentative="1">
      <w:start w:val="1"/>
      <w:numFmt w:val="bullet"/>
      <w:lvlText w:val=""/>
      <w:lvlJc w:val="left"/>
      <w:pPr>
        <w:ind w:left="5940" w:hanging="360"/>
      </w:pPr>
      <w:rPr>
        <w:rFonts w:ascii="Symbol" w:hAnsi="Symbol" w:hint="default"/>
      </w:rPr>
    </w:lvl>
    <w:lvl w:ilvl="7" w:tplc="04060003" w:tentative="1">
      <w:start w:val="1"/>
      <w:numFmt w:val="bullet"/>
      <w:lvlText w:val="o"/>
      <w:lvlJc w:val="left"/>
      <w:pPr>
        <w:ind w:left="6660" w:hanging="360"/>
      </w:pPr>
      <w:rPr>
        <w:rFonts w:ascii="Courier New" w:hAnsi="Courier New" w:hint="default"/>
      </w:rPr>
    </w:lvl>
    <w:lvl w:ilvl="8" w:tplc="04060005" w:tentative="1">
      <w:start w:val="1"/>
      <w:numFmt w:val="bullet"/>
      <w:lvlText w:val=""/>
      <w:lvlJc w:val="left"/>
      <w:pPr>
        <w:ind w:left="7380" w:hanging="360"/>
      </w:pPr>
      <w:rPr>
        <w:rFonts w:ascii="Wingdings" w:hAnsi="Wingdings" w:hint="default"/>
      </w:rPr>
    </w:lvl>
  </w:abstractNum>
  <w:abstractNum w:abstractNumId="7">
    <w:nsid w:val="5C5741A4"/>
    <w:multiLevelType w:val="multilevel"/>
    <w:tmpl w:val="9C9ED1EA"/>
    <w:lvl w:ilvl="0">
      <w:start w:val="4"/>
      <w:numFmt w:val="lowerLetter"/>
      <w:lvlText w:val="%1."/>
      <w:lvlJc w:val="left"/>
      <w:pPr>
        <w:tabs>
          <w:tab w:val="num" w:pos="1260"/>
        </w:tabs>
        <w:ind w:left="1260" w:hanging="360"/>
      </w:pPr>
      <w:rPr>
        <w:rFonts w:cs="Times New Roman" w:hint="default"/>
      </w:rPr>
    </w:lvl>
    <w:lvl w:ilvl="1">
      <w:start w:val="1"/>
      <w:numFmt w:val="lowerLetter"/>
      <w:lvlText w:val="%2."/>
      <w:lvlJc w:val="left"/>
      <w:pPr>
        <w:tabs>
          <w:tab w:val="num" w:pos="1980"/>
        </w:tabs>
        <w:ind w:left="1980" w:hanging="36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lowerLetter"/>
      <w:lvlText w:val="%4."/>
      <w:lvlJc w:val="left"/>
      <w:pPr>
        <w:tabs>
          <w:tab w:val="num" w:pos="3420"/>
        </w:tabs>
        <w:ind w:left="3420" w:hanging="360"/>
      </w:pPr>
      <w:rPr>
        <w:rFonts w:cs="Times New Roman" w:hint="default"/>
      </w:rPr>
    </w:lvl>
    <w:lvl w:ilvl="4">
      <w:start w:val="1"/>
      <w:numFmt w:val="lowerLetter"/>
      <w:lvlText w:val="%5."/>
      <w:lvlJc w:val="left"/>
      <w:pPr>
        <w:tabs>
          <w:tab w:val="num" w:pos="4140"/>
        </w:tabs>
        <w:ind w:left="4140" w:hanging="360"/>
      </w:pPr>
      <w:rPr>
        <w:rFonts w:cs="Times New Roman" w:hint="default"/>
      </w:rPr>
    </w:lvl>
    <w:lvl w:ilvl="5">
      <w:start w:val="1"/>
      <w:numFmt w:val="lowerLetter"/>
      <w:lvlText w:val="%6."/>
      <w:lvlJc w:val="left"/>
      <w:pPr>
        <w:tabs>
          <w:tab w:val="num" w:pos="4860"/>
        </w:tabs>
        <w:ind w:left="4860" w:hanging="360"/>
      </w:pPr>
      <w:rPr>
        <w:rFonts w:cs="Times New Roman" w:hint="default"/>
      </w:rPr>
    </w:lvl>
    <w:lvl w:ilvl="6">
      <w:start w:val="1"/>
      <w:numFmt w:val="lowerLetter"/>
      <w:lvlText w:val="%7."/>
      <w:lvlJc w:val="left"/>
      <w:pPr>
        <w:tabs>
          <w:tab w:val="num" w:pos="5580"/>
        </w:tabs>
        <w:ind w:left="5580" w:hanging="360"/>
      </w:pPr>
      <w:rPr>
        <w:rFonts w:cs="Times New Roman" w:hint="default"/>
      </w:rPr>
    </w:lvl>
    <w:lvl w:ilvl="7">
      <w:start w:val="1"/>
      <w:numFmt w:val="lowerLetter"/>
      <w:lvlText w:val="%8."/>
      <w:lvlJc w:val="left"/>
      <w:pPr>
        <w:tabs>
          <w:tab w:val="num" w:pos="6300"/>
        </w:tabs>
        <w:ind w:left="6300" w:hanging="360"/>
      </w:pPr>
      <w:rPr>
        <w:rFonts w:cs="Times New Roman" w:hint="default"/>
      </w:rPr>
    </w:lvl>
    <w:lvl w:ilvl="8">
      <w:start w:val="1"/>
      <w:numFmt w:val="lowerLetter"/>
      <w:lvlText w:val="%9."/>
      <w:lvlJc w:val="left"/>
      <w:pPr>
        <w:tabs>
          <w:tab w:val="num" w:pos="7020"/>
        </w:tabs>
        <w:ind w:left="7020" w:hanging="360"/>
      </w:pPr>
      <w:rPr>
        <w:rFonts w:cs="Times New Roman" w:hint="default"/>
      </w:rPr>
    </w:lvl>
  </w:abstractNum>
  <w:abstractNum w:abstractNumId="8">
    <w:nsid w:val="64CE0A7E"/>
    <w:multiLevelType w:val="multilevel"/>
    <w:tmpl w:val="5222362A"/>
    <w:lvl w:ilvl="0">
      <w:start w:val="2"/>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hint="default"/>
      </w:rPr>
    </w:lvl>
    <w:lvl w:ilvl="2">
      <w:start w:val="1"/>
      <w:numFmt w:val="decimal"/>
      <w:lvlText w:val="%3."/>
      <w:lvlJc w:val="left"/>
      <w:pPr>
        <w:tabs>
          <w:tab w:val="num" w:pos="1980"/>
        </w:tabs>
        <w:ind w:left="1980" w:hanging="36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decimal"/>
      <w:lvlText w:val="%5."/>
      <w:lvlJc w:val="left"/>
      <w:pPr>
        <w:tabs>
          <w:tab w:val="num" w:pos="3420"/>
        </w:tabs>
        <w:ind w:left="3420" w:hanging="360"/>
      </w:pPr>
      <w:rPr>
        <w:rFonts w:cs="Times New Roman" w:hint="default"/>
      </w:rPr>
    </w:lvl>
    <w:lvl w:ilvl="5">
      <w:start w:val="1"/>
      <w:numFmt w:val="decimal"/>
      <w:lvlText w:val="%6."/>
      <w:lvlJc w:val="left"/>
      <w:pPr>
        <w:tabs>
          <w:tab w:val="num" w:pos="4140"/>
        </w:tabs>
        <w:ind w:left="4140" w:hanging="36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decimal"/>
      <w:lvlText w:val="%8."/>
      <w:lvlJc w:val="left"/>
      <w:pPr>
        <w:tabs>
          <w:tab w:val="num" w:pos="5580"/>
        </w:tabs>
        <w:ind w:left="5580" w:hanging="360"/>
      </w:pPr>
      <w:rPr>
        <w:rFonts w:cs="Times New Roman" w:hint="default"/>
      </w:rPr>
    </w:lvl>
    <w:lvl w:ilvl="8">
      <w:start w:val="1"/>
      <w:numFmt w:val="decimal"/>
      <w:lvlText w:val="%9."/>
      <w:lvlJc w:val="left"/>
      <w:pPr>
        <w:tabs>
          <w:tab w:val="num" w:pos="6300"/>
        </w:tabs>
        <w:ind w:left="6300" w:hanging="360"/>
      </w:pPr>
      <w:rPr>
        <w:rFonts w:cs="Times New Roman" w:hint="default"/>
      </w:rPr>
    </w:lvl>
  </w:abstractNum>
  <w:abstractNum w:abstractNumId="9">
    <w:nsid w:val="64EF019B"/>
    <w:multiLevelType w:val="multilevel"/>
    <w:tmpl w:val="AFC000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9466C5B"/>
    <w:multiLevelType w:val="multilevel"/>
    <w:tmpl w:val="6CBE4786"/>
    <w:lvl w:ilvl="0">
      <w:start w:val="5"/>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nsid w:val="6E172A7E"/>
    <w:multiLevelType w:val="multilevel"/>
    <w:tmpl w:val="39B09E0E"/>
    <w:lvl w:ilvl="0">
      <w:start w:val="3"/>
      <w:numFmt w:val="lowerLetter"/>
      <w:lvlText w:val="%1."/>
      <w:lvlJc w:val="left"/>
      <w:pPr>
        <w:tabs>
          <w:tab w:val="num" w:pos="1260"/>
        </w:tabs>
        <w:ind w:left="1260" w:hanging="360"/>
      </w:pPr>
      <w:rPr>
        <w:rFonts w:cs="Times New Roman" w:hint="default"/>
      </w:rPr>
    </w:lvl>
    <w:lvl w:ilvl="1">
      <w:start w:val="1"/>
      <w:numFmt w:val="lowerLetter"/>
      <w:lvlText w:val="%2."/>
      <w:lvlJc w:val="left"/>
      <w:pPr>
        <w:tabs>
          <w:tab w:val="num" w:pos="1980"/>
        </w:tabs>
        <w:ind w:left="1980" w:hanging="36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lowerLetter"/>
      <w:lvlText w:val="%4."/>
      <w:lvlJc w:val="left"/>
      <w:pPr>
        <w:tabs>
          <w:tab w:val="num" w:pos="3420"/>
        </w:tabs>
        <w:ind w:left="3420" w:hanging="360"/>
      </w:pPr>
      <w:rPr>
        <w:rFonts w:cs="Times New Roman" w:hint="default"/>
      </w:rPr>
    </w:lvl>
    <w:lvl w:ilvl="4">
      <w:start w:val="1"/>
      <w:numFmt w:val="lowerLetter"/>
      <w:lvlText w:val="%5."/>
      <w:lvlJc w:val="left"/>
      <w:pPr>
        <w:tabs>
          <w:tab w:val="num" w:pos="4140"/>
        </w:tabs>
        <w:ind w:left="4140" w:hanging="360"/>
      </w:pPr>
      <w:rPr>
        <w:rFonts w:cs="Times New Roman" w:hint="default"/>
      </w:rPr>
    </w:lvl>
    <w:lvl w:ilvl="5">
      <w:start w:val="1"/>
      <w:numFmt w:val="lowerLetter"/>
      <w:lvlText w:val="%6."/>
      <w:lvlJc w:val="left"/>
      <w:pPr>
        <w:tabs>
          <w:tab w:val="num" w:pos="4860"/>
        </w:tabs>
        <w:ind w:left="4860" w:hanging="360"/>
      </w:pPr>
      <w:rPr>
        <w:rFonts w:cs="Times New Roman" w:hint="default"/>
      </w:rPr>
    </w:lvl>
    <w:lvl w:ilvl="6">
      <w:start w:val="1"/>
      <w:numFmt w:val="lowerLetter"/>
      <w:lvlText w:val="%7."/>
      <w:lvlJc w:val="left"/>
      <w:pPr>
        <w:tabs>
          <w:tab w:val="num" w:pos="5580"/>
        </w:tabs>
        <w:ind w:left="5580" w:hanging="360"/>
      </w:pPr>
      <w:rPr>
        <w:rFonts w:cs="Times New Roman" w:hint="default"/>
      </w:rPr>
    </w:lvl>
    <w:lvl w:ilvl="7">
      <w:start w:val="1"/>
      <w:numFmt w:val="lowerLetter"/>
      <w:lvlText w:val="%8."/>
      <w:lvlJc w:val="left"/>
      <w:pPr>
        <w:tabs>
          <w:tab w:val="num" w:pos="6300"/>
        </w:tabs>
        <w:ind w:left="6300" w:hanging="360"/>
      </w:pPr>
      <w:rPr>
        <w:rFonts w:cs="Times New Roman" w:hint="default"/>
      </w:rPr>
    </w:lvl>
    <w:lvl w:ilvl="8">
      <w:start w:val="1"/>
      <w:numFmt w:val="lowerLetter"/>
      <w:lvlText w:val="%9."/>
      <w:lvlJc w:val="left"/>
      <w:pPr>
        <w:tabs>
          <w:tab w:val="num" w:pos="7020"/>
        </w:tabs>
        <w:ind w:left="7020" w:hanging="360"/>
      </w:pPr>
      <w:rPr>
        <w:rFonts w:cs="Times New Roman" w:hint="default"/>
      </w:rPr>
    </w:lvl>
  </w:abstractNum>
  <w:abstractNum w:abstractNumId="12">
    <w:nsid w:val="74830F17"/>
    <w:multiLevelType w:val="multilevel"/>
    <w:tmpl w:val="2A321C6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3">
    <w:nsid w:val="7C2A2050"/>
    <w:multiLevelType w:val="multilevel"/>
    <w:tmpl w:val="2A46470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num w:numId="1">
    <w:abstractNumId w:val="3"/>
  </w:num>
  <w:num w:numId="2">
    <w:abstractNumId w:val="9"/>
    <w:lvlOverride w:ilvl="0">
      <w:startOverride w:val="2"/>
    </w:lvlOverride>
  </w:num>
  <w:num w:numId="3">
    <w:abstractNumId w:val="8"/>
  </w:num>
  <w:num w:numId="4">
    <w:abstractNumId w:val="8"/>
    <w:lvlOverride w:ilvl="0"/>
    <w:lvlOverride w:ilvl="1">
      <w:startOverride w:val="1"/>
    </w:lvlOverride>
  </w:num>
  <w:num w:numId="5">
    <w:abstractNumId w:val="8"/>
    <w:lvlOverride w:ilvl="0"/>
    <w:lvlOverride w:ilvl="1">
      <w:startOverride w:val="2"/>
    </w:lvlOverride>
  </w:num>
  <w:num w:numId="6">
    <w:abstractNumId w:val="11"/>
  </w:num>
  <w:num w:numId="7">
    <w:abstractNumId w:val="7"/>
  </w:num>
  <w:num w:numId="8">
    <w:abstractNumId w:val="12"/>
    <w:lvlOverride w:ilvl="0">
      <w:startOverride w:val="2"/>
    </w:lvlOverride>
  </w:num>
  <w:num w:numId="9">
    <w:abstractNumId w:val="1"/>
    <w:lvlOverride w:ilvl="0">
      <w:startOverride w:val="1"/>
    </w:lvlOverride>
  </w:num>
  <w:num w:numId="10">
    <w:abstractNumId w:val="2"/>
    <w:lvlOverride w:ilvl="0">
      <w:startOverride w:val="1"/>
    </w:lvlOverride>
  </w:num>
  <w:num w:numId="11">
    <w:abstractNumId w:val="4"/>
  </w:num>
  <w:num w:numId="12">
    <w:abstractNumId w:val="4"/>
    <w:lvlOverride w:ilvl="0"/>
    <w:lvlOverride w:ilvl="1">
      <w:startOverride w:val="1"/>
    </w:lvlOverride>
  </w:num>
  <w:num w:numId="13">
    <w:abstractNumId w:val="5"/>
    <w:lvlOverride w:ilvl="0">
      <w:startOverride w:val="2"/>
    </w:lvlOverride>
  </w:num>
  <w:num w:numId="14">
    <w:abstractNumId w:val="5"/>
    <w:lvlOverride w:ilvl="0">
      <w:startOverride w:val="3"/>
    </w:lvlOverride>
  </w:num>
  <w:num w:numId="15">
    <w:abstractNumId w:val="10"/>
  </w:num>
  <w:num w:numId="16">
    <w:abstractNumId w:val="10"/>
    <w:lvlOverride w:ilvl="0"/>
    <w:lvlOverride w:ilvl="1">
      <w:startOverride w:val="1"/>
    </w:lvlOverride>
  </w:num>
  <w:num w:numId="17">
    <w:abstractNumId w:val="10"/>
    <w:lvlOverride w:ilvl="0"/>
    <w:lvlOverride w:ilvl="1">
      <w:startOverride w:val="2"/>
    </w:lvlOverride>
  </w:num>
  <w:num w:numId="18">
    <w:abstractNumId w:val="13"/>
  </w:num>
  <w:num w:numId="19">
    <w:abstractNumId w:val="13"/>
    <w:lvlOverride w:ilvl="0"/>
    <w:lvlOverride w:ilvl="1">
      <w:startOverride w:val="1"/>
    </w:lvlOverride>
  </w:num>
  <w:num w:numId="20">
    <w:abstractNumId w:val="13"/>
    <w:lvlOverride w:ilvl="0"/>
    <w:lvlOverride w:ilvl="1">
      <w:startOverride w:val="2"/>
    </w:lvlOverride>
  </w:num>
  <w:num w:numId="21">
    <w:abstractNumId w:val="13"/>
    <w:lvlOverride w:ilvl="0"/>
    <w:lvlOverride w:ilvl="1">
      <w:startOverride w:val="3"/>
    </w:lvlOverride>
  </w:num>
  <w:num w:numId="22">
    <w:abstractNumId w:val="0"/>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1304"/>
  <w:hyphenationZone w:val="425"/>
  <w:characterSpacingControl w:val="doNotCompress"/>
  <w:compat/>
  <w:rsids>
    <w:rsidRoot w:val="001211D1"/>
    <w:rsid w:val="00023218"/>
    <w:rsid w:val="001211D1"/>
    <w:rsid w:val="001862A5"/>
    <w:rsid w:val="00217E57"/>
    <w:rsid w:val="00302EB7"/>
    <w:rsid w:val="005726E2"/>
    <w:rsid w:val="0061698F"/>
    <w:rsid w:val="006C3B71"/>
    <w:rsid w:val="006C6584"/>
    <w:rsid w:val="00890B93"/>
    <w:rsid w:val="00900673"/>
    <w:rsid w:val="00946730"/>
    <w:rsid w:val="009D3562"/>
    <w:rsid w:val="00C5652E"/>
    <w:rsid w:val="00C93F33"/>
    <w:rsid w:val="00D24D15"/>
    <w:rsid w:val="00DA0E93"/>
    <w:rsid w:val="00DE3FE5"/>
    <w:rsid w:val="00EF41F9"/>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a-DK" w:eastAsia="da-D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E93"/>
    <w:pPr>
      <w:spacing w:line="276" w:lineRule="auto"/>
    </w:pPr>
    <w:rPr>
      <w:lang w:eastAsia="en-US"/>
    </w:rPr>
  </w:style>
  <w:style w:type="paragraph" w:styleId="Overskrift1">
    <w:name w:val="heading 1"/>
    <w:basedOn w:val="Normal"/>
    <w:next w:val="Normal"/>
    <w:link w:val="Overskrift1Tegn"/>
    <w:uiPriority w:val="99"/>
    <w:qFormat/>
    <w:rsid w:val="001211D1"/>
    <w:pPr>
      <w:keepNext/>
      <w:keepLines/>
      <w:spacing w:before="480"/>
      <w:outlineLvl w:val="0"/>
    </w:pPr>
    <w:rPr>
      <w:rFonts w:ascii="Cambria" w:eastAsia="Times New Roman" w:hAnsi="Cambria"/>
      <w:b/>
      <w:bCs/>
      <w:color w:val="365F91"/>
      <w:sz w:val="28"/>
      <w:szCs w:val="28"/>
    </w:rPr>
  </w:style>
  <w:style w:type="paragraph" w:styleId="Overskrift2">
    <w:name w:val="heading 2"/>
    <w:basedOn w:val="Normal"/>
    <w:next w:val="Normal"/>
    <w:link w:val="Overskrift2Tegn"/>
    <w:uiPriority w:val="99"/>
    <w:qFormat/>
    <w:rsid w:val="001211D1"/>
    <w:pPr>
      <w:keepNext/>
      <w:keepLines/>
      <w:spacing w:before="200"/>
      <w:outlineLvl w:val="1"/>
    </w:pPr>
    <w:rPr>
      <w:rFonts w:ascii="Cambria" w:eastAsia="Times New Roman" w:hAnsi="Cambria"/>
      <w:b/>
      <w:bCs/>
      <w:color w:val="4F81BD"/>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9"/>
    <w:locked/>
    <w:rsid w:val="001211D1"/>
    <w:rPr>
      <w:rFonts w:ascii="Cambria" w:hAnsi="Cambria" w:cs="Times New Roman"/>
      <w:b/>
      <w:bCs/>
      <w:color w:val="365F91"/>
      <w:sz w:val="28"/>
      <w:szCs w:val="28"/>
    </w:rPr>
  </w:style>
  <w:style w:type="character" w:customStyle="1" w:styleId="Overskrift2Tegn">
    <w:name w:val="Overskrift 2 Tegn"/>
    <w:basedOn w:val="Standardskrifttypeiafsnit"/>
    <w:link w:val="Overskrift2"/>
    <w:uiPriority w:val="99"/>
    <w:locked/>
    <w:rsid w:val="001211D1"/>
    <w:rPr>
      <w:rFonts w:ascii="Cambria" w:hAnsi="Cambria" w:cs="Times New Roman"/>
      <w:b/>
      <w:bCs/>
      <w:color w:val="4F81BD"/>
      <w:sz w:val="26"/>
      <w:szCs w:val="26"/>
    </w:rPr>
  </w:style>
  <w:style w:type="paragraph" w:styleId="NormalWeb">
    <w:name w:val="Normal (Web)"/>
    <w:basedOn w:val="Normal"/>
    <w:uiPriority w:val="99"/>
    <w:semiHidden/>
    <w:rsid w:val="001211D1"/>
    <w:pPr>
      <w:spacing w:before="100" w:beforeAutospacing="1" w:after="100" w:afterAutospacing="1" w:line="240" w:lineRule="auto"/>
    </w:pPr>
    <w:rPr>
      <w:rFonts w:ascii="Times New Roman" w:eastAsia="Times New Roman" w:hAnsi="Times New Roman"/>
      <w:sz w:val="24"/>
      <w:szCs w:val="24"/>
      <w:lang w:eastAsia="da-DK"/>
    </w:rPr>
  </w:style>
  <w:style w:type="paragraph" w:styleId="Listeafsnit">
    <w:name w:val="List Paragraph"/>
    <w:basedOn w:val="Normal"/>
    <w:uiPriority w:val="99"/>
    <w:qFormat/>
    <w:rsid w:val="00946730"/>
    <w:pPr>
      <w:ind w:left="720"/>
      <w:contextualSpacing/>
    </w:pPr>
  </w:style>
  <w:style w:type="paragraph" w:styleId="Markeringsbobletekst">
    <w:name w:val="Balloon Text"/>
    <w:basedOn w:val="Normal"/>
    <w:link w:val="MarkeringsbobletekstTegn"/>
    <w:uiPriority w:val="99"/>
    <w:semiHidden/>
    <w:rsid w:val="00C5652E"/>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C53B2C"/>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divs>
    <w:div w:id="1006985001">
      <w:marLeft w:val="0"/>
      <w:marRight w:val="0"/>
      <w:marTop w:val="0"/>
      <w:marBottom w:val="0"/>
      <w:divBdr>
        <w:top w:val="none" w:sz="0" w:space="0" w:color="auto"/>
        <w:left w:val="none" w:sz="0" w:space="0" w:color="auto"/>
        <w:bottom w:val="none" w:sz="0" w:space="0" w:color="auto"/>
        <w:right w:val="none" w:sz="0" w:space="0" w:color="auto"/>
      </w:divBdr>
    </w:div>
    <w:div w:id="1006985002">
      <w:marLeft w:val="0"/>
      <w:marRight w:val="0"/>
      <w:marTop w:val="0"/>
      <w:marBottom w:val="0"/>
      <w:divBdr>
        <w:top w:val="none" w:sz="0" w:space="0" w:color="auto"/>
        <w:left w:val="none" w:sz="0" w:space="0" w:color="auto"/>
        <w:bottom w:val="none" w:sz="0" w:space="0" w:color="auto"/>
        <w:right w:val="none" w:sz="0" w:space="0" w:color="auto"/>
      </w:divBdr>
    </w:div>
    <w:div w:id="1006985003">
      <w:marLeft w:val="0"/>
      <w:marRight w:val="0"/>
      <w:marTop w:val="0"/>
      <w:marBottom w:val="0"/>
      <w:divBdr>
        <w:top w:val="none" w:sz="0" w:space="0" w:color="auto"/>
        <w:left w:val="none" w:sz="0" w:space="0" w:color="auto"/>
        <w:bottom w:val="none" w:sz="0" w:space="0" w:color="auto"/>
        <w:right w:val="none" w:sz="0" w:space="0" w:color="auto"/>
      </w:divBdr>
    </w:div>
    <w:div w:id="1006985004">
      <w:marLeft w:val="0"/>
      <w:marRight w:val="0"/>
      <w:marTop w:val="0"/>
      <w:marBottom w:val="0"/>
      <w:divBdr>
        <w:top w:val="none" w:sz="0" w:space="0" w:color="auto"/>
        <w:left w:val="none" w:sz="0" w:space="0" w:color="auto"/>
        <w:bottom w:val="none" w:sz="0" w:space="0" w:color="auto"/>
        <w:right w:val="none" w:sz="0" w:space="0" w:color="auto"/>
      </w:divBdr>
    </w:div>
    <w:div w:id="10069850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894</Words>
  <Characters>5457</Characters>
  <Application>Microsoft Office Word</Application>
  <DocSecurity>4</DocSecurity>
  <Lines>45</Lines>
  <Paragraphs>12</Paragraphs>
  <ScaleCrop>false</ScaleCrop>
  <Company>HP</Company>
  <LinksUpToDate>false</LinksUpToDate>
  <CharactersWithSpaces>6339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Møde i Clarin licensudvalg 27</dc:title>
  <dc:creator>Anders Conrad</dc:creator>
  <cp:lastModifiedBy>Anders Conrad</cp:lastModifiedBy>
  <cp:revision>2</cp:revision>
  <cp:lastPrinted>2011-02-24T09:58:00Z</cp:lastPrinted>
  <dcterms:created xsi:type="dcterms:W3CDTF">2011-02-25T07:51:00Z</dcterms:created>
  <dcterms:modified xsi:type="dcterms:W3CDTF">2011-02-25T07:51:00Z</dcterms:modified>
</cp:coreProperties>
</file>